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41" w:rsidRPr="00660641" w:rsidRDefault="002C454A" w:rsidP="0066064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0641">
        <w:rPr>
          <w:rFonts w:ascii="Times New Roman" w:hAnsi="Times New Roman" w:cs="Times New Roman"/>
          <w:b/>
          <w:bCs/>
          <w:sz w:val="32"/>
          <w:szCs w:val="32"/>
        </w:rPr>
        <w:t>Российская Федерация</w:t>
      </w:r>
    </w:p>
    <w:p w:rsidR="002C454A" w:rsidRPr="00660641" w:rsidRDefault="002C454A" w:rsidP="00660641">
      <w:pPr>
        <w:spacing w:before="36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0641">
        <w:rPr>
          <w:rFonts w:ascii="Times New Roman" w:hAnsi="Times New Roman" w:cs="Times New Roman"/>
          <w:b/>
          <w:sz w:val="32"/>
          <w:szCs w:val="32"/>
        </w:rPr>
        <w:t>Совет муниципального района</w:t>
      </w:r>
    </w:p>
    <w:p w:rsidR="002C454A" w:rsidRPr="00660641" w:rsidRDefault="002C454A" w:rsidP="0066064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0641">
        <w:rPr>
          <w:rFonts w:ascii="Times New Roman" w:hAnsi="Times New Roman" w:cs="Times New Roman"/>
          <w:b/>
          <w:sz w:val="32"/>
          <w:szCs w:val="32"/>
        </w:rPr>
        <w:t>«Город Краснокаменск и Краснокаменский район»</w:t>
      </w:r>
    </w:p>
    <w:p w:rsidR="00660641" w:rsidRPr="00660641" w:rsidRDefault="002C454A" w:rsidP="0066064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0641">
        <w:rPr>
          <w:rFonts w:ascii="Times New Roman" w:hAnsi="Times New Roman" w:cs="Times New Roman"/>
          <w:b/>
          <w:sz w:val="32"/>
          <w:szCs w:val="32"/>
        </w:rPr>
        <w:t>Забайкальского края</w:t>
      </w:r>
    </w:p>
    <w:p w:rsidR="002C454A" w:rsidRPr="00660641" w:rsidRDefault="002C454A" w:rsidP="00660641">
      <w:pPr>
        <w:spacing w:before="48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064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C454A" w:rsidRPr="004D0AE7" w:rsidRDefault="002C454A" w:rsidP="002C454A">
      <w:pPr>
        <w:spacing w:before="480"/>
        <w:ind w:right="-2"/>
        <w:rPr>
          <w:rFonts w:ascii="Times New Roman" w:hAnsi="Times New Roman" w:cs="Times New Roman"/>
          <w:sz w:val="28"/>
          <w:szCs w:val="28"/>
        </w:rPr>
      </w:pPr>
      <w:r w:rsidRPr="00660641">
        <w:rPr>
          <w:rFonts w:ascii="Times New Roman" w:hAnsi="Times New Roman" w:cs="Times New Roman"/>
          <w:sz w:val="28"/>
          <w:szCs w:val="28"/>
        </w:rPr>
        <w:t>«</w:t>
      </w:r>
      <w:r w:rsidR="00660641" w:rsidRPr="00660641">
        <w:rPr>
          <w:rFonts w:ascii="Times New Roman" w:hAnsi="Times New Roman" w:cs="Times New Roman"/>
          <w:sz w:val="28"/>
          <w:szCs w:val="28"/>
        </w:rPr>
        <w:t>____</w:t>
      </w:r>
      <w:r w:rsidRPr="00660641">
        <w:rPr>
          <w:rFonts w:ascii="Times New Roman" w:hAnsi="Times New Roman" w:cs="Times New Roman"/>
          <w:sz w:val="28"/>
          <w:szCs w:val="28"/>
        </w:rPr>
        <w:t xml:space="preserve">» </w:t>
      </w:r>
      <w:r w:rsidR="00660641" w:rsidRPr="00660641">
        <w:rPr>
          <w:rFonts w:ascii="Times New Roman" w:hAnsi="Times New Roman" w:cs="Times New Roman"/>
          <w:sz w:val="28"/>
          <w:szCs w:val="28"/>
        </w:rPr>
        <w:t>_____________</w:t>
      </w:r>
      <w:r w:rsidRPr="00660641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660641" w:rsidRPr="00660641">
        <w:rPr>
          <w:rFonts w:ascii="Times New Roman" w:hAnsi="Times New Roman" w:cs="Times New Roman"/>
          <w:sz w:val="28"/>
          <w:szCs w:val="28"/>
        </w:rPr>
        <w:tab/>
      </w:r>
      <w:r w:rsidR="00660641" w:rsidRPr="00660641">
        <w:rPr>
          <w:rFonts w:ascii="Times New Roman" w:hAnsi="Times New Roman" w:cs="Times New Roman"/>
          <w:sz w:val="28"/>
          <w:szCs w:val="28"/>
        </w:rPr>
        <w:tab/>
      </w:r>
      <w:r w:rsidR="00660641" w:rsidRPr="00660641">
        <w:rPr>
          <w:rFonts w:ascii="Times New Roman" w:hAnsi="Times New Roman" w:cs="Times New Roman"/>
          <w:sz w:val="28"/>
          <w:szCs w:val="28"/>
        </w:rPr>
        <w:tab/>
      </w:r>
      <w:r w:rsidR="00660641" w:rsidRPr="00660641">
        <w:rPr>
          <w:rFonts w:ascii="Times New Roman" w:hAnsi="Times New Roman" w:cs="Times New Roman"/>
          <w:sz w:val="28"/>
          <w:szCs w:val="28"/>
        </w:rPr>
        <w:tab/>
      </w:r>
      <w:r w:rsidR="00660641" w:rsidRPr="00660641">
        <w:rPr>
          <w:rFonts w:ascii="Times New Roman" w:hAnsi="Times New Roman" w:cs="Times New Roman"/>
          <w:sz w:val="28"/>
          <w:szCs w:val="28"/>
        </w:rPr>
        <w:tab/>
      </w:r>
      <w:r w:rsidR="00660641" w:rsidRPr="004D0AE7">
        <w:rPr>
          <w:rFonts w:ascii="Times New Roman" w:hAnsi="Times New Roman" w:cs="Times New Roman"/>
          <w:sz w:val="28"/>
          <w:szCs w:val="28"/>
        </w:rPr>
        <w:tab/>
      </w:r>
      <w:r w:rsidRPr="00660641">
        <w:rPr>
          <w:rFonts w:ascii="Times New Roman" w:hAnsi="Times New Roman" w:cs="Times New Roman"/>
          <w:sz w:val="28"/>
          <w:szCs w:val="28"/>
        </w:rPr>
        <w:t xml:space="preserve"> № </w:t>
      </w:r>
      <w:r w:rsidR="00660641" w:rsidRPr="004D0AE7">
        <w:rPr>
          <w:rFonts w:ascii="Times New Roman" w:hAnsi="Times New Roman" w:cs="Times New Roman"/>
          <w:sz w:val="28"/>
          <w:szCs w:val="28"/>
        </w:rPr>
        <w:t>____</w:t>
      </w:r>
    </w:p>
    <w:p w:rsidR="002C454A" w:rsidRPr="00660641" w:rsidRDefault="002C454A" w:rsidP="002C454A">
      <w:pPr>
        <w:pStyle w:val="ac"/>
        <w:spacing w:before="480" w:beforeAutospacing="0" w:after="0" w:afterAutospacing="0"/>
        <w:ind w:right="-2"/>
        <w:jc w:val="center"/>
        <w:rPr>
          <w:b/>
        </w:rPr>
      </w:pPr>
      <w:r w:rsidRPr="00660641">
        <w:rPr>
          <w:b/>
        </w:rPr>
        <w:t>г. Краснокаменск</w:t>
      </w:r>
    </w:p>
    <w:p w:rsidR="002C454A" w:rsidRDefault="002C454A" w:rsidP="002C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2C454A" w:rsidRPr="00587547" w:rsidRDefault="000100AD" w:rsidP="00587547">
      <w:pPr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Положение о </w:t>
      </w:r>
      <w:r w:rsidR="006750AD" w:rsidRPr="002C454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</w:t>
      </w:r>
      <w:r w:rsidR="00660641" w:rsidRPr="0066064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EF1A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жилищном </w:t>
      </w:r>
      <w:r w:rsidR="006750AD" w:rsidRPr="002C454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контрол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</w:t>
      </w:r>
      <w:r w:rsidR="00587547" w:rsidRPr="00587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сельских поселений </w:t>
      </w:r>
      <w:r w:rsidR="00587547" w:rsidRPr="00587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муниципального района «Город Краснокаменск и Краснокаменский район» Забайкальского края</w:t>
      </w:r>
      <w:r w:rsidR="006606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="00660641" w:rsidRPr="006606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06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утвержденное решением Совета </w:t>
      </w:r>
      <w:r w:rsidR="00660641" w:rsidRPr="00587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муниципального района «Город Краснокаменск и Краснокаменский район» Забайкальского края</w:t>
      </w:r>
      <w:r w:rsidR="006606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 24.12.2021 № 9</w:t>
      </w:r>
      <w:r w:rsidR="00EF1AF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</w:p>
    <w:p w:rsidR="004C5830" w:rsidRPr="00840133" w:rsidRDefault="004C5830" w:rsidP="002C45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416339" w:rsidRPr="002C454A" w:rsidRDefault="00EF1AF6" w:rsidP="004D0AE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F1AF6">
        <w:rPr>
          <w:rFonts w:ascii="Times New Roman" w:eastAsia="Calibri" w:hAnsi="Times New Roman" w:cs="Times New Roman"/>
          <w:sz w:val="28"/>
          <w:szCs w:val="28"/>
        </w:rPr>
        <w:t>В соответствии с частью 5 статьи 20 Жилищного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</w:t>
      </w:r>
      <w:r w:rsidR="00DB7DFD" w:rsidRPr="00EF1A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4F0EED" w:rsidRPr="00EF1A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</w:t>
      </w:r>
      <w:r w:rsidR="006848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Уставом</w:t>
      </w:r>
      <w:r w:rsidR="004F0EED" w:rsidRPr="00EF1AF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муниципального района «Город Краснокаменск и</w:t>
      </w:r>
      <w:r w:rsidR="004F0EED" w:rsidRPr="004F0E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</w:p>
    <w:p w:rsidR="00416339" w:rsidRPr="004C5830" w:rsidRDefault="00416339" w:rsidP="004C5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83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E497D" w:rsidRPr="007E497D" w:rsidRDefault="00C05F76" w:rsidP="007E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Положение о</w:t>
      </w:r>
      <w:bookmarkStart w:id="0" w:name="_GoBack"/>
      <w:bookmarkEnd w:id="0"/>
      <w:r w:rsidR="007E497D" w:rsidRPr="007E497D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EF1AF6">
        <w:rPr>
          <w:rFonts w:ascii="Times New Roman" w:hAnsi="Times New Roman" w:cs="Times New Roman"/>
          <w:sz w:val="28"/>
          <w:szCs w:val="28"/>
        </w:rPr>
        <w:t xml:space="preserve">жилищном </w:t>
      </w:r>
      <w:r w:rsidR="007E497D" w:rsidRPr="007E497D">
        <w:rPr>
          <w:rFonts w:ascii="Times New Roman" w:hAnsi="Times New Roman" w:cs="Times New Roman"/>
          <w:sz w:val="28"/>
          <w:szCs w:val="28"/>
        </w:rPr>
        <w:t>контроле на территории сельских поселений муниципального района</w:t>
      </w:r>
      <w:r w:rsidR="007E497D">
        <w:rPr>
          <w:rFonts w:ascii="Times New Roman" w:hAnsi="Times New Roman" w:cs="Times New Roman"/>
          <w:sz w:val="28"/>
          <w:szCs w:val="28"/>
        </w:rPr>
        <w:t xml:space="preserve"> «Город Краснокаменск и Краснокаменский район» Забайкальского края</w:t>
      </w:r>
      <w:r w:rsidR="007E497D" w:rsidRPr="007E497D">
        <w:rPr>
          <w:rFonts w:ascii="Times New Roman" w:hAnsi="Times New Roman" w:cs="Times New Roman"/>
          <w:sz w:val="28"/>
          <w:szCs w:val="28"/>
        </w:rPr>
        <w:t>, утвержденное решением Совета муниципального района «</w:t>
      </w:r>
      <w:r w:rsidR="007E497D">
        <w:rPr>
          <w:rFonts w:ascii="Times New Roman" w:hAnsi="Times New Roman" w:cs="Times New Roman"/>
          <w:sz w:val="28"/>
          <w:szCs w:val="28"/>
        </w:rPr>
        <w:t>Город Краснокаменск и Краснокаменский район</w:t>
      </w:r>
      <w:r w:rsidR="00EF1AF6">
        <w:rPr>
          <w:rFonts w:ascii="Times New Roman" w:hAnsi="Times New Roman" w:cs="Times New Roman"/>
          <w:sz w:val="28"/>
          <w:szCs w:val="28"/>
        </w:rPr>
        <w:t>» от 24</w:t>
      </w:r>
      <w:r w:rsidR="007E497D" w:rsidRPr="007E497D">
        <w:rPr>
          <w:rFonts w:ascii="Times New Roman" w:hAnsi="Times New Roman" w:cs="Times New Roman"/>
          <w:sz w:val="28"/>
          <w:szCs w:val="28"/>
        </w:rPr>
        <w:t>.1</w:t>
      </w:r>
      <w:r w:rsidR="007E497D">
        <w:rPr>
          <w:rFonts w:ascii="Times New Roman" w:hAnsi="Times New Roman" w:cs="Times New Roman"/>
          <w:sz w:val="28"/>
          <w:szCs w:val="28"/>
        </w:rPr>
        <w:t>2</w:t>
      </w:r>
      <w:r w:rsidR="007E497D" w:rsidRPr="007E497D">
        <w:rPr>
          <w:rFonts w:ascii="Times New Roman" w:hAnsi="Times New Roman" w:cs="Times New Roman"/>
          <w:sz w:val="28"/>
          <w:szCs w:val="28"/>
        </w:rPr>
        <w:t>.202</w:t>
      </w:r>
      <w:r w:rsidR="007E497D">
        <w:rPr>
          <w:rFonts w:ascii="Times New Roman" w:hAnsi="Times New Roman" w:cs="Times New Roman"/>
          <w:sz w:val="28"/>
          <w:szCs w:val="28"/>
        </w:rPr>
        <w:t>2</w:t>
      </w:r>
      <w:r w:rsidR="007E497D" w:rsidRPr="007E497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E497D">
        <w:rPr>
          <w:rFonts w:ascii="Times New Roman" w:hAnsi="Times New Roman" w:cs="Times New Roman"/>
          <w:sz w:val="28"/>
          <w:szCs w:val="28"/>
        </w:rPr>
        <w:t>9</w:t>
      </w:r>
      <w:r w:rsidR="00EF1AF6">
        <w:rPr>
          <w:rFonts w:ascii="Times New Roman" w:hAnsi="Times New Roman" w:cs="Times New Roman"/>
          <w:sz w:val="28"/>
          <w:szCs w:val="28"/>
        </w:rPr>
        <w:t>4</w:t>
      </w:r>
      <w:r w:rsidR="00757ED5">
        <w:rPr>
          <w:rFonts w:ascii="Times New Roman" w:hAnsi="Times New Roman" w:cs="Times New Roman"/>
          <w:sz w:val="28"/>
          <w:szCs w:val="28"/>
        </w:rPr>
        <w:t xml:space="preserve"> (далее Положение) следующие изменения</w:t>
      </w:r>
      <w:r w:rsidR="007E497D" w:rsidRPr="007E497D">
        <w:rPr>
          <w:rFonts w:ascii="Times New Roman" w:hAnsi="Times New Roman" w:cs="Times New Roman"/>
          <w:sz w:val="28"/>
          <w:szCs w:val="28"/>
        </w:rPr>
        <w:t>:</w:t>
      </w:r>
    </w:p>
    <w:p w:rsidR="007E497D" w:rsidRPr="007E497D" w:rsidRDefault="007E497D" w:rsidP="007E49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раздел 1 </w:t>
      </w:r>
      <w:r w:rsidR="00757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Pr="00AA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пунктом </w:t>
      </w:r>
      <w:r w:rsidR="00EF1AF6" w:rsidRPr="00AA2289">
        <w:rPr>
          <w:rFonts w:ascii="Times New Roman" w:eastAsia="Times New Roman" w:hAnsi="Times New Roman" w:cs="Times New Roman"/>
          <w:sz w:val="28"/>
          <w:szCs w:val="28"/>
          <w:lang w:eastAsia="ru-RU"/>
        </w:rPr>
        <w:t>1.13</w:t>
      </w:r>
      <w:r w:rsidRPr="00AA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r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497D" w:rsidRPr="007E497D" w:rsidRDefault="007E497D" w:rsidP="007E49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1AF6">
        <w:rPr>
          <w:rFonts w:ascii="Times New Roman" w:eastAsia="Times New Roman" w:hAnsi="Times New Roman" w:cs="Times New Roman"/>
          <w:sz w:val="28"/>
          <w:szCs w:val="28"/>
          <w:lang w:eastAsia="ru-RU"/>
        </w:rPr>
        <w:t>1.13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7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Ключевые показатели муниципального контроля и их целевые значения, индикативные показатели установлены приложением № 1 к настоящему Положению».;</w:t>
      </w:r>
    </w:p>
    <w:p w:rsidR="006358A7" w:rsidRDefault="007E497D" w:rsidP="006358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1.2.</w:t>
      </w:r>
      <w:r w:rsidR="00757ED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6358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57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 w:rsidR="0063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</w:t>
      </w:r>
      <w:r w:rsidR="00DD2D9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пунктами 4.7., 4.8., 4.9.</w:t>
      </w:r>
      <w:r w:rsidR="0063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6358A7" w:rsidRDefault="006358A7" w:rsidP="00DD2D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«4.7.</w:t>
      </w:r>
      <w:r w:rsidRPr="00635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частью 2 статьи 61 Федерального закона № 248-ФЗ при осуществлении муниципального контроля плановые контрольные мероприятия не проводятся.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358A7" w:rsidRPr="00327206" w:rsidRDefault="006358A7" w:rsidP="00DD2D9C">
      <w:pPr>
        <w:pStyle w:val="ac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327206">
        <w:rPr>
          <w:sz w:val="28"/>
          <w:szCs w:val="28"/>
        </w:rPr>
        <w:t>«4.8. В соответствии с частью 3 статьи 66 Федерального закона № 248-ФЗ все внеплановые контрольные мероприятия могут проводиться только после согласования с органами прокуратуры.»;</w:t>
      </w:r>
    </w:p>
    <w:p w:rsidR="007E497D" w:rsidRPr="007E497D" w:rsidRDefault="007E497D" w:rsidP="005B71E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2D9C">
        <w:rPr>
          <w:rFonts w:ascii="Times New Roman" w:eastAsia="Times New Roman" w:hAnsi="Times New Roman" w:cs="Times New Roman"/>
          <w:sz w:val="28"/>
          <w:szCs w:val="28"/>
          <w:lang w:eastAsia="ru-RU"/>
        </w:rPr>
        <w:t>4.9</w:t>
      </w:r>
      <w:r w:rsidR="00EF1A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</w:t>
      </w:r>
      <w:r w:rsidR="00075BB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уполномоченный орган</w:t>
      </w: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ценностями. </w:t>
      </w:r>
    </w:p>
    <w:p w:rsidR="007E497D" w:rsidRDefault="007E497D" w:rsidP="001955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Перечень индикаторов </w:t>
      </w:r>
      <w:r w:rsidR="00195512" w:rsidRPr="0019551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риска нарушения обязательных требований, используемых при принятии решения о проведении и выборе вида внепланового контрольного (надзорного) мероприятия при осуществлении муниципального </w:t>
      </w:r>
      <w:r w:rsidR="00DD2D9C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жилищного </w:t>
      </w:r>
      <w:r w:rsidR="00195512" w:rsidRPr="0019551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контроля</w:t>
      </w: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, установлен приложением № 2 к настоящему Положению.»;</w:t>
      </w:r>
    </w:p>
    <w:p w:rsidR="00327206" w:rsidRDefault="00327206" w:rsidP="007E4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1.3. п. 5.2.10</w:t>
      </w:r>
      <w:r w:rsidR="003B66C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.</w:t>
      </w:r>
      <w:r w:rsidR="00757ED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Положения исключить</w:t>
      </w: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;</w:t>
      </w:r>
    </w:p>
    <w:p w:rsidR="00AA2289" w:rsidRPr="007E497D" w:rsidRDefault="00AA2289" w:rsidP="007E4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1.4. </w:t>
      </w:r>
      <w:r w:rsidR="003B66C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аздел</w:t>
      </w:r>
      <w:r w:rsidR="00757ED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10.</w:t>
      </w:r>
      <w:r w:rsidR="00757ED5" w:rsidRPr="00757ED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Положения исключить</w:t>
      </w: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;</w:t>
      </w:r>
    </w:p>
    <w:p w:rsidR="007E497D" w:rsidRPr="007E497D" w:rsidRDefault="00327206" w:rsidP="007E49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A22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E497D"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540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E497D"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ополнить</w:t>
      </w:r>
      <w:r w:rsidR="0068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</w:t>
      </w:r>
      <w:r w:rsidR="007E497D"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приложением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97D"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>1 и приложением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8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497D" w:rsidRPr="007E4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E21865" w:rsidRPr="00E21865" w:rsidRDefault="00BC751D" w:rsidP="0032720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540BC">
        <w:rPr>
          <w:rFonts w:ascii="Times New Roman" w:hAnsi="Times New Roman" w:cs="Times New Roman"/>
          <w:sz w:val="28"/>
          <w:szCs w:val="28"/>
        </w:rPr>
        <w:t xml:space="preserve">. </w:t>
      </w:r>
      <w:r w:rsidR="00E21865" w:rsidRPr="00E21865">
        <w:rPr>
          <w:rFonts w:ascii="Times New Roman" w:hAnsi="Times New Roman"/>
          <w:sz w:val="28"/>
          <w:szCs w:val="28"/>
          <w:lang w:eastAsia="ru-RU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</w:t>
      </w:r>
      <w:r w:rsidR="00811A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1865" w:rsidRPr="00E21865">
        <w:rPr>
          <w:rFonts w:ascii="Times New Roman" w:hAnsi="Times New Roman"/>
          <w:sz w:val="28"/>
          <w:szCs w:val="28"/>
          <w:lang w:eastAsia="ru-RU"/>
        </w:rPr>
        <w:t xml:space="preserve">«Интернет»: </w:t>
      </w:r>
      <w:hyperlink r:id="rId8" w:history="1">
        <w:r w:rsidR="00587547" w:rsidRPr="00132B51">
          <w:rPr>
            <w:rStyle w:val="ae"/>
            <w:rFonts w:ascii="Times New Roman" w:hAnsi="Times New Roman"/>
            <w:sz w:val="28"/>
            <w:szCs w:val="28"/>
            <w:lang w:eastAsia="ru-RU"/>
          </w:rPr>
          <w:t>www.adminkr.ru</w:t>
        </w:r>
      </w:hyperlink>
      <w:r w:rsidR="00E21865" w:rsidRPr="00E21865">
        <w:rPr>
          <w:rFonts w:ascii="Times New Roman" w:hAnsi="Times New Roman"/>
          <w:sz w:val="28"/>
          <w:szCs w:val="28"/>
          <w:lang w:eastAsia="ru-RU"/>
        </w:rPr>
        <w:t xml:space="preserve"> и вступает в силу после его подписания и обнародования.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21865" w:rsidRPr="006358A7" w:rsidTr="007D3E49">
        <w:tc>
          <w:tcPr>
            <w:tcW w:w="4785" w:type="dxa"/>
            <w:vAlign w:val="center"/>
            <w:hideMark/>
          </w:tcPr>
          <w:p w:rsidR="00E21865" w:rsidRPr="006358A7" w:rsidRDefault="00E21865" w:rsidP="00811DAB">
            <w:pPr>
              <w:rPr>
                <w:sz w:val="28"/>
                <w:szCs w:val="28"/>
                <w:lang w:eastAsia="ru-RU"/>
              </w:rPr>
            </w:pPr>
          </w:p>
          <w:p w:rsidR="00E21865" w:rsidRDefault="00E21865" w:rsidP="00811DAB">
            <w:pPr>
              <w:rPr>
                <w:sz w:val="28"/>
                <w:szCs w:val="28"/>
                <w:lang w:eastAsia="ru-RU"/>
              </w:rPr>
            </w:pPr>
          </w:p>
          <w:p w:rsidR="00DD2D9C" w:rsidRPr="006358A7" w:rsidRDefault="00DD2D9C" w:rsidP="00811DAB">
            <w:pPr>
              <w:rPr>
                <w:sz w:val="28"/>
                <w:szCs w:val="28"/>
                <w:lang w:eastAsia="ru-RU"/>
              </w:rPr>
            </w:pPr>
          </w:p>
          <w:p w:rsidR="00E21865" w:rsidRPr="006358A7" w:rsidRDefault="00E21865" w:rsidP="00811DAB">
            <w:pPr>
              <w:rPr>
                <w:sz w:val="28"/>
                <w:szCs w:val="28"/>
                <w:lang w:eastAsia="ru-RU"/>
              </w:rPr>
            </w:pPr>
            <w:r w:rsidRPr="006358A7">
              <w:rPr>
                <w:sz w:val="28"/>
                <w:szCs w:val="28"/>
                <w:lang w:eastAsia="ru-RU"/>
              </w:rPr>
              <w:t>Глава муниципального района</w:t>
            </w:r>
          </w:p>
        </w:tc>
        <w:tc>
          <w:tcPr>
            <w:tcW w:w="4785" w:type="dxa"/>
            <w:vAlign w:val="center"/>
            <w:hideMark/>
          </w:tcPr>
          <w:p w:rsidR="00BC751D" w:rsidRPr="006358A7" w:rsidRDefault="00BC751D" w:rsidP="00E21865">
            <w:pPr>
              <w:rPr>
                <w:b/>
                <w:sz w:val="28"/>
                <w:szCs w:val="28"/>
                <w:lang w:eastAsia="ru-RU"/>
              </w:rPr>
            </w:pPr>
          </w:p>
          <w:p w:rsidR="00BC751D" w:rsidRPr="006358A7" w:rsidRDefault="00BC751D" w:rsidP="00E21865">
            <w:pPr>
              <w:rPr>
                <w:b/>
                <w:sz w:val="28"/>
                <w:szCs w:val="28"/>
                <w:lang w:eastAsia="ru-RU"/>
              </w:rPr>
            </w:pPr>
          </w:p>
          <w:p w:rsidR="00DD2D9C" w:rsidRDefault="00DD2D9C" w:rsidP="00075BB4">
            <w:pPr>
              <w:ind w:left="1452"/>
              <w:rPr>
                <w:sz w:val="28"/>
                <w:szCs w:val="28"/>
                <w:lang w:eastAsia="ru-RU"/>
              </w:rPr>
            </w:pPr>
          </w:p>
          <w:p w:rsidR="00E21865" w:rsidRPr="006358A7" w:rsidRDefault="00E21865" w:rsidP="00075BB4">
            <w:pPr>
              <w:ind w:left="1452"/>
              <w:rPr>
                <w:sz w:val="28"/>
                <w:szCs w:val="28"/>
                <w:lang w:eastAsia="ru-RU"/>
              </w:rPr>
            </w:pPr>
            <w:r w:rsidRPr="006358A7">
              <w:rPr>
                <w:sz w:val="28"/>
                <w:szCs w:val="28"/>
                <w:lang w:eastAsia="ru-RU"/>
              </w:rPr>
              <w:t>С.Н. Колпаков</w:t>
            </w:r>
          </w:p>
        </w:tc>
      </w:tr>
      <w:tr w:rsidR="00E21865" w:rsidTr="007D3E49">
        <w:tc>
          <w:tcPr>
            <w:tcW w:w="4785" w:type="dxa"/>
          </w:tcPr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21865" w:rsidTr="007D3E49">
        <w:trPr>
          <w:trHeight w:val="1691"/>
        </w:trPr>
        <w:tc>
          <w:tcPr>
            <w:tcW w:w="4785" w:type="dxa"/>
            <w:vAlign w:val="center"/>
            <w:hideMark/>
          </w:tcPr>
          <w:p w:rsidR="00E21865" w:rsidRPr="0071556A" w:rsidRDefault="00AA2289" w:rsidP="00AA228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Председатель </w:t>
            </w:r>
            <w:r w:rsidR="00E21865" w:rsidRPr="0071556A">
              <w:rPr>
                <w:sz w:val="28"/>
                <w:szCs w:val="28"/>
                <w:lang w:eastAsia="ru-RU"/>
              </w:rPr>
              <w:t>Совета муниципального района</w:t>
            </w:r>
          </w:p>
        </w:tc>
        <w:tc>
          <w:tcPr>
            <w:tcW w:w="4785" w:type="dxa"/>
            <w:vAlign w:val="center"/>
            <w:hideMark/>
          </w:tcPr>
          <w:p w:rsidR="00BC751D" w:rsidRDefault="00BC751D" w:rsidP="00E21865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21865" w:rsidRPr="0071556A" w:rsidRDefault="00AA2289" w:rsidP="00AA2289">
            <w:pPr>
              <w:jc w:val="center"/>
              <w:rPr>
                <w:sz w:val="28"/>
                <w:szCs w:val="28"/>
                <w:lang w:eastAsia="ru-RU"/>
              </w:rPr>
            </w:pPr>
            <w:r w:rsidRPr="00AA2289">
              <w:rPr>
                <w:sz w:val="28"/>
                <w:szCs w:val="28"/>
                <w:lang w:eastAsia="ru-RU"/>
              </w:rPr>
              <w:t>Б.Б. Колесаев</w:t>
            </w:r>
            <w:r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</w:p>
        </w:tc>
      </w:tr>
    </w:tbl>
    <w:p w:rsidR="006D249F" w:rsidRDefault="006D249F" w:rsidP="006358A7">
      <w:pPr>
        <w:pStyle w:val="ConsPlusNormal"/>
        <w:rPr>
          <w:rFonts w:ascii="Times New Roman" w:hAnsi="Times New Roman" w:cs="Times New Roman"/>
          <w:sz w:val="28"/>
          <w:szCs w:val="28"/>
        </w:rPr>
        <w:sectPr w:rsidR="006D249F" w:rsidSect="00811A95">
          <w:pgSz w:w="11906" w:h="16838" w:code="9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C10591" w:rsidRDefault="00C10591" w:rsidP="006358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E0FDC" w:rsidRPr="00E33C28" w:rsidRDefault="00BE0FDC" w:rsidP="00BE0F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к решению</w:t>
      </w:r>
    </w:p>
    <w:p w:rsidR="00BE0FDC" w:rsidRPr="00E33C28" w:rsidRDefault="00BE0FDC" w:rsidP="00BE0F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Совета муниципального района</w:t>
      </w:r>
    </w:p>
    <w:p w:rsidR="00BE0FDC" w:rsidRDefault="00BE0FDC" w:rsidP="00BE0F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Город Краснокаменск и Краснокаменский район</w:t>
      </w: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BE0FDC" w:rsidRPr="00E33C28" w:rsidRDefault="00BE0FDC" w:rsidP="00BE0F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Забайкальского края</w:t>
      </w:r>
    </w:p>
    <w:p w:rsidR="00BE0FDC" w:rsidRPr="00E33C28" w:rsidRDefault="00BE0FDC" w:rsidP="00BE0FD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«___» _________ </w:t>
      </w: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2022 г</w:t>
      </w:r>
      <w:r w:rsidR="005E6B26">
        <w:rPr>
          <w:rFonts w:ascii="Times New Roman" w:eastAsia="Times New Roman" w:hAnsi="Times New Roman" w:cs="Times New Roman"/>
          <w:sz w:val="24"/>
          <w:szCs w:val="24"/>
          <w:lang w:eastAsia="ar-SA"/>
        </w:rPr>
        <w:t>ода</w:t>
      </w: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</w:p>
    <w:p w:rsidR="00BE0FDC" w:rsidRDefault="00BE0FDC" w:rsidP="00E42FA8">
      <w:pPr>
        <w:pStyle w:val="ac"/>
        <w:spacing w:before="0" w:beforeAutospacing="0" w:after="0" w:afterAutospacing="0"/>
        <w:ind w:left="9923" w:right="-2"/>
        <w:jc w:val="center"/>
        <w:rPr>
          <w:sz w:val="26"/>
          <w:szCs w:val="26"/>
        </w:rPr>
      </w:pPr>
    </w:p>
    <w:p w:rsidR="00E42FA8" w:rsidRPr="004E417B" w:rsidRDefault="00E42FA8" w:rsidP="00E42FA8">
      <w:pPr>
        <w:pStyle w:val="ac"/>
        <w:spacing w:before="0" w:beforeAutospacing="0" w:after="0" w:afterAutospacing="0"/>
        <w:ind w:left="9923" w:right="-2"/>
        <w:jc w:val="center"/>
        <w:rPr>
          <w:sz w:val="26"/>
          <w:szCs w:val="26"/>
        </w:rPr>
      </w:pPr>
      <w:r w:rsidRPr="004E417B">
        <w:rPr>
          <w:sz w:val="26"/>
          <w:szCs w:val="26"/>
        </w:rPr>
        <w:t>ПРИЛОЖЕНИЕ № 1</w:t>
      </w:r>
    </w:p>
    <w:p w:rsidR="00E42FA8" w:rsidRPr="00F46DFF" w:rsidRDefault="00E42FA8" w:rsidP="00E42FA8">
      <w:pPr>
        <w:pStyle w:val="ac"/>
        <w:spacing w:before="0" w:beforeAutospacing="0" w:after="0" w:afterAutospacing="0"/>
        <w:ind w:left="9923"/>
        <w:jc w:val="center"/>
      </w:pPr>
      <w:r w:rsidRPr="00F46DFF">
        <w:t xml:space="preserve">к Положению о муниципальном жилищном контроле </w:t>
      </w:r>
      <w:r w:rsidR="00F46DFF" w:rsidRPr="00F46DFF">
        <w:t>на</w:t>
      </w:r>
      <w:r w:rsidRPr="00F46DFF">
        <w:t xml:space="preserve"> территории</w:t>
      </w:r>
    </w:p>
    <w:p w:rsidR="00E42FA8" w:rsidRPr="00F46DFF" w:rsidRDefault="00E42FA8" w:rsidP="00E42FA8">
      <w:pPr>
        <w:pStyle w:val="ac"/>
        <w:spacing w:before="0" w:beforeAutospacing="0" w:after="0" w:afterAutospacing="0"/>
        <w:ind w:left="9923"/>
        <w:jc w:val="center"/>
      </w:pPr>
      <w:r w:rsidRPr="00F46DFF">
        <w:t>сельских поселений муниципального района «</w:t>
      </w:r>
      <w:r w:rsidR="00F46DFF" w:rsidRPr="00F46DFF">
        <w:t>Город Краснокаменск и Краснокаменский район</w:t>
      </w:r>
      <w:r w:rsidRPr="00F46DFF">
        <w:t>»</w:t>
      </w:r>
      <w:r w:rsidR="00F46DFF" w:rsidRPr="00F46DFF">
        <w:t xml:space="preserve"> Забайкальского края</w:t>
      </w:r>
    </w:p>
    <w:p w:rsidR="00E42FA8" w:rsidRPr="00D66DE7" w:rsidRDefault="00E42FA8" w:rsidP="00E42FA8">
      <w:pPr>
        <w:pStyle w:val="ac"/>
        <w:spacing w:before="0" w:beforeAutospacing="0" w:after="0" w:afterAutospacing="0"/>
        <w:ind w:left="-709" w:right="-2" w:firstLine="709"/>
        <w:jc w:val="center"/>
        <w:rPr>
          <w:sz w:val="28"/>
          <w:szCs w:val="26"/>
        </w:rPr>
      </w:pPr>
    </w:p>
    <w:p w:rsidR="00E42FA8" w:rsidRPr="00436C93" w:rsidRDefault="00E42FA8" w:rsidP="00E42FA8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36C93">
        <w:rPr>
          <w:rFonts w:ascii="Times New Roman" w:hAnsi="Times New Roman" w:cs="Times New Roman"/>
          <w:b/>
          <w:sz w:val="24"/>
          <w:szCs w:val="24"/>
        </w:rPr>
        <w:t>Перечень показателей результативности и эффективности муниципального жилищного контроля</w:t>
      </w:r>
    </w:p>
    <w:p w:rsidR="00E42FA8" w:rsidRPr="00D66DE7" w:rsidRDefault="00E42FA8" w:rsidP="00E42FA8">
      <w:pPr>
        <w:spacing w:after="0"/>
        <w:jc w:val="center"/>
        <w:outlineLvl w:val="0"/>
        <w:rPr>
          <w:rFonts w:cs="Times New Roman"/>
          <w:b/>
          <w:i/>
          <w:szCs w:val="26"/>
        </w:rPr>
      </w:pPr>
    </w:p>
    <w:tbl>
      <w:tblPr>
        <w:tblW w:w="151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2410"/>
        <w:gridCol w:w="1276"/>
        <w:gridCol w:w="2388"/>
        <w:gridCol w:w="994"/>
        <w:gridCol w:w="805"/>
        <w:gridCol w:w="188"/>
        <w:gridCol w:w="521"/>
        <w:gridCol w:w="169"/>
        <w:gridCol w:w="19"/>
        <w:gridCol w:w="695"/>
        <w:gridCol w:w="14"/>
        <w:gridCol w:w="9"/>
        <w:gridCol w:w="19"/>
        <w:gridCol w:w="814"/>
        <w:gridCol w:w="11"/>
        <w:gridCol w:w="9"/>
        <w:gridCol w:w="19"/>
        <w:gridCol w:w="1378"/>
        <w:gridCol w:w="573"/>
        <w:gridCol w:w="1377"/>
        <w:gridCol w:w="16"/>
        <w:gridCol w:w="12"/>
        <w:gridCol w:w="11"/>
      </w:tblGrid>
      <w:tr w:rsidR="00E42FA8" w:rsidRPr="00D73526" w:rsidTr="000A7AEE">
        <w:trPr>
          <w:trHeight w:val="375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 xml:space="preserve">Номер показателя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Формула расчета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Комментарии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(интерпретация значений)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Базовое значение показателя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Международное сопоставление показателя</w:t>
            </w:r>
          </w:p>
        </w:tc>
        <w:tc>
          <w:tcPr>
            <w:tcW w:w="2448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Целевые значения показателей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Источники данных для определения значений показателя</w:t>
            </w:r>
          </w:p>
        </w:tc>
        <w:tc>
          <w:tcPr>
            <w:tcW w:w="1989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Сведения о документах стратегического планирования , содержащих показатель (при его наличии)</w:t>
            </w:r>
          </w:p>
        </w:tc>
      </w:tr>
      <w:tr w:rsidR="00E42FA8" w:rsidRPr="00D73526" w:rsidTr="000A7AEE">
        <w:trPr>
          <w:trHeight w:val="1185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предыдущий год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текущий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73526">
              <w:rPr>
                <w:rFonts w:ascii="Times New Roman" w:hAnsi="Times New Roman" w:cs="Times New Roman"/>
                <w:sz w:val="20"/>
                <w:szCs w:val="24"/>
              </w:rPr>
              <w:t>будущий год</w:t>
            </w:r>
          </w:p>
        </w:tc>
        <w:tc>
          <w:tcPr>
            <w:tcW w:w="141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9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42FA8" w:rsidRPr="00D73526" w:rsidTr="000A7AEE">
        <w:trPr>
          <w:trHeight w:val="315"/>
        </w:trPr>
        <w:tc>
          <w:tcPr>
            <w:tcW w:w="151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КЛЮЧЕВЫЕ ПОКАЗАТЕЛИ</w:t>
            </w:r>
          </w:p>
        </w:tc>
      </w:tr>
      <w:tr w:rsidR="00E42FA8" w:rsidRPr="00D73526" w:rsidTr="000A7AEE">
        <w:trPr>
          <w:trHeight w:val="70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372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E42FA8" w:rsidRPr="00D73526" w:rsidTr="000A7AEE">
        <w:trPr>
          <w:trHeight w:val="98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Материальный ущерб, причиненный гражданам, организациям и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в процентах от валового регионального продукта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Сп*100/ ВРП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Сп- суммы перерасчета незаконно начисленной платы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руб; ВРП - утвержденный валовой региональный продукт, млн. руб.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К учету принимаются  значение показателя с точностью не менее 1 сотой (два знака после запятой), показатели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точностью менее 1 сотой приравниваются к нулю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Статистические данные контрольного органа: журнал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распоряжений, реестр проверок статистические данные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trHeight w:val="26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Кспв*100% / Ксн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Кспв - количества выявленных случаев  нарушений обязательных требований, повлекших причинение вреда жизни, здоровью граждан, которые подтверждены вступившими в законную силу решениями суда;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К сн-  общее количество случаев нарушения обязательных требований, выявленных по результатам проверок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органа;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br/>
              <w:t>ГАС РФ «Правосудие»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trHeight w:val="447"/>
        </w:trPr>
        <w:tc>
          <w:tcPr>
            <w:tcW w:w="151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ind w:left="-9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ИНДИКАТИВНЫЕ ПОКАЗАТЕЛИ</w:t>
            </w:r>
          </w:p>
        </w:tc>
      </w:tr>
      <w:tr w:rsidR="00E42FA8" w:rsidRPr="00D73526" w:rsidTr="000A7AEE">
        <w:trPr>
          <w:trHeight w:val="3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72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Показатели, применяемые для мониторинга контрольной деятельности, ее анализа, выявления проблем, возникающих </w:t>
            </w:r>
            <w:r w:rsidRPr="00D735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E42FA8" w:rsidRPr="00D73526" w:rsidTr="000A7AEE">
        <w:trPr>
          <w:gridAfter w:val="2"/>
          <w:wAfter w:w="23" w:type="dxa"/>
          <w:trHeight w:val="3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ind w:left="13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Контрольные мероприятия при взаимодействии с контролируемым лицом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3"/>
          <w:wAfter w:w="39" w:type="dxa"/>
          <w:trHeight w:val="18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 в рамках муниципального жилищного контроля, проведенных в установленные сроки, по отношению к общему количеству контрольных мероприятий , проведенных в рамках осуществлениямуниципального жилищного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Пву*100% / Пок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Пву – количество контрольных мероприятий в рамках муниципального жилищного контроля, проведенных в установленные сроки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Пок – общее количество проведенных контрольных мероприятий  в рамках муниципального жилищного контроля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3"/>
          <w:wAfter w:w="39" w:type="dxa"/>
          <w:trHeight w:val="5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Доля предписаний, признанных незаконными в судебном порядке, по отношению к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общему количеству предписаний, выданных  органом муниципального жилищного контроля в ходе осуществления муниципального жилищного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ПРн*100% / ПРо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ПРн- количество предписаний,  признанных незаконными в судебном порядке;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Про-общее количеству предписаний, выданных в ходе муниципального жилищного контроля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3"/>
          <w:wAfter w:w="39" w:type="dxa"/>
          <w:trHeight w:val="18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проведенных рамках муниципального жилищного контроля, результаты которых были признаны недействительными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Ппн*100%  / Пок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Ппн – количество контрольных мероприятий , результаты которых были признаны недействительными;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Пок - общему количество контрольных мероприятий , проведенных в рамках  муниципального жилищного контроля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3"/>
          <w:wAfter w:w="39" w:type="dxa"/>
          <w:trHeight w:val="138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Доля контрольных мероприятий, проведенных органом муниципального жилищного контроля, с нарушениями требований законодательства Российской Федерации о порядке их проведения, по результатам выявления которых к должностным лицам органа муниципального жилищного контроля, осуществившим такие контрольные мероприятия, применены меры дисциплинарного, административного наказания от общего количества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Псн*100%  /Пок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Псн – количество контрольных мероприятий, проведенных в рамках муниципального жилищного контроля, с нарушениями требований законодательства РФ о порядке их проведения, по результатам выявления которых к должностным лицам органа муниципального жилищного контроля , осуществившим такие контрольные мероприятия, применены меры дисциплинарного, административного наказания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 xml:space="preserve">Пок- общее </w:t>
            </w: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контрольных мероприятий, проведенных в рамках муниципального жилищного контроля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2"/>
          <w:wAfter w:w="23" w:type="dxa"/>
          <w:trHeight w:val="53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 Мероприятия по контролю без взаимодействия с контролируемым лицом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FA8" w:rsidRPr="00D73526" w:rsidRDefault="00E42FA8" w:rsidP="000A7A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FA8" w:rsidRPr="00D73526" w:rsidRDefault="00E42FA8" w:rsidP="000A7A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1"/>
          <w:wAfter w:w="11" w:type="dxa"/>
          <w:trHeight w:val="4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Общее количество контрольных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инспекции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органа муниципального жилищного контроля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A8" w:rsidRPr="00D73526" w:rsidTr="000A7AEE">
        <w:trPr>
          <w:gridAfter w:val="2"/>
          <w:wAfter w:w="23" w:type="dxa"/>
          <w:trHeight w:val="16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Доля предписаний, признанных незаконными в судебном порядке, по отношению к общему количеству предписаний, выданныхорганом муниципального жилищного контроляпо результатам контрольных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ПРМБВн*100%  / ПРМБВо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ПРМБВн–количество  предписаний, выданных органом муниципального жилищного контроля по результатам контрольных мероприятий признанных незаконными в судебном порядке</w:t>
            </w: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ПРМБВо - количество предписаний, выданных  по результатам контрольных мероприятий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526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контрольного органа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FA8" w:rsidRPr="00D73526" w:rsidRDefault="00E42FA8" w:rsidP="000A7A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FA8" w:rsidRDefault="00E42FA8" w:rsidP="00D73526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______________</w:t>
      </w:r>
    </w:p>
    <w:p w:rsidR="00E42FA8" w:rsidRPr="004E417B" w:rsidRDefault="00E42FA8" w:rsidP="00E42FA8">
      <w:pPr>
        <w:pStyle w:val="ConsPlusNormal"/>
        <w:jc w:val="both"/>
        <w:rPr>
          <w:sz w:val="26"/>
          <w:szCs w:val="26"/>
        </w:rPr>
        <w:sectPr w:rsidR="00E42FA8" w:rsidRPr="004E417B" w:rsidSect="00D84469">
          <w:pgSz w:w="16838" w:h="11906" w:orient="landscape" w:code="9"/>
          <w:pgMar w:top="567" w:right="1134" w:bottom="1985" w:left="1134" w:header="709" w:footer="709" w:gutter="0"/>
          <w:cols w:space="708"/>
          <w:titlePg/>
          <w:docGrid w:linePitch="381"/>
        </w:sectPr>
      </w:pPr>
    </w:p>
    <w:p w:rsidR="00E42FA8" w:rsidRPr="004E417B" w:rsidRDefault="00E42FA8" w:rsidP="00E42FA8">
      <w:pPr>
        <w:pStyle w:val="ac"/>
        <w:spacing w:before="0" w:beforeAutospacing="0" w:after="0" w:afterAutospacing="0"/>
        <w:ind w:left="4536"/>
        <w:contextualSpacing/>
        <w:jc w:val="center"/>
        <w:rPr>
          <w:bCs/>
          <w:sz w:val="26"/>
          <w:szCs w:val="26"/>
        </w:rPr>
      </w:pPr>
      <w:r w:rsidRPr="004E417B">
        <w:rPr>
          <w:bCs/>
          <w:sz w:val="26"/>
          <w:szCs w:val="26"/>
        </w:rPr>
        <w:lastRenderedPageBreak/>
        <w:t xml:space="preserve">ПРИЛОЖЕНИЕ № </w:t>
      </w:r>
      <w:r>
        <w:rPr>
          <w:bCs/>
          <w:sz w:val="26"/>
          <w:szCs w:val="26"/>
        </w:rPr>
        <w:t>2</w:t>
      </w:r>
    </w:p>
    <w:p w:rsidR="00E42FA8" w:rsidRPr="00F46DFF" w:rsidRDefault="00E42FA8" w:rsidP="00E42FA8">
      <w:pPr>
        <w:pStyle w:val="ac"/>
        <w:spacing w:before="0" w:beforeAutospacing="0" w:after="0" w:afterAutospacing="0"/>
        <w:ind w:left="4536"/>
        <w:contextualSpacing/>
        <w:jc w:val="center"/>
        <w:rPr>
          <w:bCs/>
        </w:rPr>
      </w:pPr>
      <w:r w:rsidRPr="00F46DFF">
        <w:rPr>
          <w:bCs/>
        </w:rPr>
        <w:t>к Положению о муниципальном</w:t>
      </w:r>
    </w:p>
    <w:p w:rsidR="00E42FA8" w:rsidRPr="00F46DFF" w:rsidRDefault="00E42FA8" w:rsidP="00E42FA8">
      <w:pPr>
        <w:pStyle w:val="ac"/>
        <w:spacing w:before="0" w:beforeAutospacing="0" w:after="0" w:afterAutospacing="0"/>
        <w:ind w:left="4536"/>
        <w:contextualSpacing/>
        <w:jc w:val="center"/>
        <w:rPr>
          <w:bCs/>
        </w:rPr>
      </w:pPr>
      <w:r w:rsidRPr="00F46DFF">
        <w:rPr>
          <w:bCs/>
        </w:rPr>
        <w:t xml:space="preserve">жилищном контроле </w:t>
      </w:r>
      <w:r w:rsidR="00F46DFF" w:rsidRPr="00F46DFF">
        <w:rPr>
          <w:bCs/>
        </w:rPr>
        <w:t xml:space="preserve">на </w:t>
      </w:r>
      <w:r w:rsidRPr="00F46DFF">
        <w:rPr>
          <w:bCs/>
        </w:rPr>
        <w:t>территории</w:t>
      </w:r>
    </w:p>
    <w:p w:rsidR="00E42FA8" w:rsidRPr="00F46DFF" w:rsidRDefault="00E42FA8" w:rsidP="00E42FA8">
      <w:pPr>
        <w:pStyle w:val="ac"/>
        <w:spacing w:before="0" w:beforeAutospacing="0" w:after="0" w:afterAutospacing="0"/>
        <w:ind w:left="4536"/>
        <w:contextualSpacing/>
        <w:jc w:val="center"/>
        <w:rPr>
          <w:bCs/>
        </w:rPr>
      </w:pPr>
      <w:r w:rsidRPr="00F46DFF">
        <w:rPr>
          <w:bCs/>
        </w:rPr>
        <w:t>сельских поселений муниципального района «</w:t>
      </w:r>
      <w:r w:rsidR="00F46DFF" w:rsidRPr="00F46DFF">
        <w:rPr>
          <w:bCs/>
        </w:rPr>
        <w:t>Город Краснокаменск и Краснокаменский район</w:t>
      </w:r>
      <w:r w:rsidRPr="00F46DFF">
        <w:rPr>
          <w:bCs/>
        </w:rPr>
        <w:t>»</w:t>
      </w:r>
      <w:r w:rsidR="00F46DFF" w:rsidRPr="00F46DFF">
        <w:rPr>
          <w:bCs/>
        </w:rPr>
        <w:t xml:space="preserve"> Забайкальского края</w:t>
      </w:r>
    </w:p>
    <w:p w:rsidR="00E42FA8" w:rsidRDefault="00E42FA8" w:rsidP="00E42FA8">
      <w:pPr>
        <w:pStyle w:val="ac"/>
        <w:spacing w:before="0" w:beforeAutospacing="0" w:after="0" w:afterAutospacing="0"/>
        <w:ind w:firstLine="3969"/>
        <w:contextualSpacing/>
        <w:jc w:val="center"/>
        <w:rPr>
          <w:bCs/>
          <w:sz w:val="26"/>
          <w:szCs w:val="26"/>
        </w:rPr>
      </w:pPr>
    </w:p>
    <w:p w:rsidR="00E42FA8" w:rsidRPr="00F46DFF" w:rsidRDefault="00E42FA8" w:rsidP="00DD2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DFF">
        <w:rPr>
          <w:rFonts w:ascii="Times New Roman" w:hAnsi="Times New Roman" w:cs="Times New Roman"/>
          <w:b/>
          <w:sz w:val="28"/>
          <w:szCs w:val="28"/>
        </w:rPr>
        <w:t>Индикаторы риска нарушения обязательных требований</w:t>
      </w:r>
      <w:r w:rsidRPr="00F46DFF">
        <w:rPr>
          <w:rFonts w:ascii="Times New Roman" w:hAnsi="Times New Roman" w:cs="Times New Roman"/>
          <w:b/>
          <w:bCs/>
          <w:sz w:val="28"/>
          <w:szCs w:val="28"/>
        </w:rPr>
        <w:t xml:space="preserve">, используемые </w:t>
      </w:r>
      <w:r w:rsidR="00195512">
        <w:rPr>
          <w:rFonts w:ascii="Times New Roman" w:hAnsi="Times New Roman" w:cs="Times New Roman"/>
          <w:sz w:val="28"/>
          <w:szCs w:val="28"/>
        </w:rPr>
        <w:t xml:space="preserve"> </w:t>
      </w:r>
      <w:r w:rsidR="00195512" w:rsidRPr="00195512">
        <w:rPr>
          <w:rFonts w:ascii="Times New Roman" w:hAnsi="Times New Roman" w:cs="Times New Roman"/>
          <w:b/>
          <w:bCs/>
          <w:sz w:val="28"/>
          <w:szCs w:val="28"/>
        </w:rPr>
        <w:t>при принятии решения о проведении и выборе вида внепланового контрольного (надзорного) мероприятия</w:t>
      </w:r>
      <w:r w:rsidRPr="00F46DFF">
        <w:rPr>
          <w:rFonts w:ascii="Times New Roman" w:hAnsi="Times New Roman" w:cs="Times New Roman"/>
          <w:b/>
          <w:bCs/>
          <w:sz w:val="28"/>
          <w:szCs w:val="28"/>
        </w:rPr>
        <w:t xml:space="preserve"> при осуществлении муниципального </w:t>
      </w:r>
      <w:r w:rsidR="00DD2D9C">
        <w:rPr>
          <w:rFonts w:ascii="Times New Roman" w:hAnsi="Times New Roman" w:cs="Times New Roman"/>
          <w:b/>
          <w:bCs/>
          <w:sz w:val="28"/>
          <w:szCs w:val="28"/>
        </w:rPr>
        <w:t xml:space="preserve">жилищного </w:t>
      </w:r>
      <w:r w:rsidRPr="00F46DFF">
        <w:rPr>
          <w:rFonts w:ascii="Times New Roman" w:hAnsi="Times New Roman" w:cs="Times New Roman"/>
          <w:b/>
          <w:bCs/>
          <w:sz w:val="28"/>
          <w:szCs w:val="28"/>
        </w:rPr>
        <w:t>контроля</w:t>
      </w:r>
    </w:p>
    <w:p w:rsidR="00E42FA8" w:rsidRPr="00F46DFF" w:rsidRDefault="00E42FA8" w:rsidP="00E42FA8">
      <w:pPr>
        <w:spacing w:after="0"/>
        <w:ind w:left="-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требований: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 xml:space="preserve">1.1. к порядку осуществления перевода жилого помещения в нежилое помещение и нежилого помещения в жилое в многоквартирном доме; 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1.2. к порядку осуществления перепланировки и (или) переустройства помещений в многоквартирном доме;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1.3. к предоставлению коммунальных услуг собственникам и пользователям помещений в многоквартирных домах и жилых домов;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1.4. к обеспечению доступности для инвалидов помещений в многоквартирных домах;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1.5.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1.6. к обеспечению безопасности при использовании и содержании внутридомового и внутриквартирного газового оборудования.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248-ФЗ.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 xml:space="preserve">2. 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</w:t>
      </w:r>
      <w:r w:rsidRPr="00F46DFF"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основанием для проведения внепланового контрольного мероприятия в соответствии с частью 12 статьи 66 Федерального закона 248-ФЗ,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>3. 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E42FA8" w:rsidRPr="00F46DFF" w:rsidRDefault="00E42FA8" w:rsidP="00E42FA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6DFF">
        <w:rPr>
          <w:rFonts w:ascii="Times New Roman" w:hAnsi="Times New Roman" w:cs="Times New Roman"/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</w:p>
    <w:p w:rsidR="00E42FA8" w:rsidRPr="00F46DFF" w:rsidRDefault="00E42FA8" w:rsidP="00E42FA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2FA8" w:rsidRPr="00F46DFF" w:rsidRDefault="00E42FA8" w:rsidP="00E42FA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2FA8" w:rsidRPr="00F46DFF" w:rsidRDefault="00E42FA8" w:rsidP="00E42FA8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F46DFF">
        <w:rPr>
          <w:sz w:val="28"/>
          <w:szCs w:val="28"/>
        </w:rPr>
        <w:t>_______________</w:t>
      </w:r>
    </w:p>
    <w:p w:rsidR="00154618" w:rsidRPr="00F46DFF" w:rsidRDefault="00154618">
      <w:pPr>
        <w:rPr>
          <w:rFonts w:ascii="Times New Roman" w:hAnsi="Times New Roman" w:cs="Times New Roman"/>
          <w:sz w:val="28"/>
          <w:szCs w:val="28"/>
        </w:rPr>
      </w:pPr>
    </w:p>
    <w:p w:rsidR="004E542D" w:rsidRPr="00F46DFF" w:rsidRDefault="004E542D" w:rsidP="004E54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1C100"/>
          <w:lang w:eastAsia="ru-RU"/>
        </w:rPr>
      </w:pPr>
    </w:p>
    <w:p w:rsidR="007E1EB1" w:rsidRPr="00F46DFF" w:rsidRDefault="007E1EB1" w:rsidP="00E60258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85BED" w:rsidRPr="00F46DFF" w:rsidRDefault="00185BED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85BED" w:rsidRPr="00F46DFF" w:rsidSect="00436C93">
      <w:headerReference w:type="default" r:id="rId9"/>
      <w:pgSz w:w="11907" w:h="16840" w:code="9"/>
      <w:pgMar w:top="1134" w:right="850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15" w:rsidRDefault="00C07215" w:rsidP="002016F0">
      <w:pPr>
        <w:spacing w:after="0" w:line="240" w:lineRule="auto"/>
      </w:pPr>
      <w:r>
        <w:separator/>
      </w:r>
    </w:p>
  </w:endnote>
  <w:endnote w:type="continuationSeparator" w:id="0">
    <w:p w:rsidR="00C07215" w:rsidRDefault="00C07215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15" w:rsidRDefault="00C07215" w:rsidP="002016F0">
      <w:pPr>
        <w:spacing w:after="0" w:line="240" w:lineRule="auto"/>
      </w:pPr>
      <w:r>
        <w:separator/>
      </w:r>
    </w:p>
  </w:footnote>
  <w:footnote w:type="continuationSeparator" w:id="0">
    <w:p w:rsidR="00C07215" w:rsidRDefault="00C07215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815834"/>
    </w:sdtPr>
    <w:sdtEndPr>
      <w:rPr>
        <w:rFonts w:ascii="Times New Roman" w:hAnsi="Times New Roman" w:cs="Times New Roman"/>
        <w:sz w:val="20"/>
        <w:szCs w:val="20"/>
      </w:rPr>
    </w:sdtEndPr>
    <w:sdtContent>
      <w:p w:rsidR="002016F0" w:rsidRPr="002016F0" w:rsidRDefault="00C07215" w:rsidP="00E21865">
        <w:pPr>
          <w:pStyle w:val="a4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6C5"/>
    <w:multiLevelType w:val="hybridMultilevel"/>
    <w:tmpl w:val="5176AC6A"/>
    <w:lvl w:ilvl="0" w:tplc="C1CAF1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914894"/>
    <w:multiLevelType w:val="hybridMultilevel"/>
    <w:tmpl w:val="4B56B682"/>
    <w:lvl w:ilvl="0" w:tplc="33E09F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5B10232"/>
    <w:multiLevelType w:val="hybridMultilevel"/>
    <w:tmpl w:val="D30877F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88F57B0"/>
    <w:multiLevelType w:val="hybridMultilevel"/>
    <w:tmpl w:val="9BFA68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15"/>
  </w:num>
  <w:num w:numId="11">
    <w:abstractNumId w:val="10"/>
  </w:num>
  <w:num w:numId="12">
    <w:abstractNumId w:val="14"/>
  </w:num>
  <w:num w:numId="13">
    <w:abstractNumId w:val="8"/>
  </w:num>
  <w:num w:numId="14">
    <w:abstractNumId w:val="0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339"/>
    <w:rsid w:val="00000E21"/>
    <w:rsid w:val="000100AD"/>
    <w:rsid w:val="00035CE0"/>
    <w:rsid w:val="00036CCD"/>
    <w:rsid w:val="00075BB4"/>
    <w:rsid w:val="00076243"/>
    <w:rsid w:val="000B709F"/>
    <w:rsid w:val="000C1446"/>
    <w:rsid w:val="000D4656"/>
    <w:rsid w:val="000E42D8"/>
    <w:rsid w:val="001045B0"/>
    <w:rsid w:val="00113CDC"/>
    <w:rsid w:val="00115FA5"/>
    <w:rsid w:val="001231D7"/>
    <w:rsid w:val="001232BE"/>
    <w:rsid w:val="00130B74"/>
    <w:rsid w:val="00150D61"/>
    <w:rsid w:val="001540BC"/>
    <w:rsid w:val="00154618"/>
    <w:rsid w:val="00164BC0"/>
    <w:rsid w:val="00165031"/>
    <w:rsid w:val="00185BED"/>
    <w:rsid w:val="001921D9"/>
    <w:rsid w:val="00195512"/>
    <w:rsid w:val="001A174D"/>
    <w:rsid w:val="001B1F5B"/>
    <w:rsid w:val="001B37C0"/>
    <w:rsid w:val="001C23AA"/>
    <w:rsid w:val="001C4087"/>
    <w:rsid w:val="001D37D7"/>
    <w:rsid w:val="001D677A"/>
    <w:rsid w:val="001E305E"/>
    <w:rsid w:val="002016F0"/>
    <w:rsid w:val="002154B7"/>
    <w:rsid w:val="00222941"/>
    <w:rsid w:val="00223FDB"/>
    <w:rsid w:val="002314BD"/>
    <w:rsid w:val="00244803"/>
    <w:rsid w:val="00271DDA"/>
    <w:rsid w:val="00280189"/>
    <w:rsid w:val="002C4459"/>
    <w:rsid w:val="002C454A"/>
    <w:rsid w:val="002C5E3F"/>
    <w:rsid w:val="002E5968"/>
    <w:rsid w:val="003104E6"/>
    <w:rsid w:val="003160B4"/>
    <w:rsid w:val="00324CB9"/>
    <w:rsid w:val="00327206"/>
    <w:rsid w:val="003560D3"/>
    <w:rsid w:val="00366377"/>
    <w:rsid w:val="00386B0D"/>
    <w:rsid w:val="00390867"/>
    <w:rsid w:val="00390AC0"/>
    <w:rsid w:val="003A1AFB"/>
    <w:rsid w:val="003B66C8"/>
    <w:rsid w:val="003E79A8"/>
    <w:rsid w:val="00400471"/>
    <w:rsid w:val="00401027"/>
    <w:rsid w:val="00415E35"/>
    <w:rsid w:val="00416339"/>
    <w:rsid w:val="004239A1"/>
    <w:rsid w:val="00436C93"/>
    <w:rsid w:val="00461EE9"/>
    <w:rsid w:val="00465547"/>
    <w:rsid w:val="0048607B"/>
    <w:rsid w:val="004A2798"/>
    <w:rsid w:val="004A46BE"/>
    <w:rsid w:val="004B1E0B"/>
    <w:rsid w:val="004C5830"/>
    <w:rsid w:val="004D0AE7"/>
    <w:rsid w:val="004D5715"/>
    <w:rsid w:val="004E542D"/>
    <w:rsid w:val="004F0EED"/>
    <w:rsid w:val="005110DA"/>
    <w:rsid w:val="00512744"/>
    <w:rsid w:val="00521465"/>
    <w:rsid w:val="005406C3"/>
    <w:rsid w:val="00577EA0"/>
    <w:rsid w:val="00587547"/>
    <w:rsid w:val="005A715E"/>
    <w:rsid w:val="005B71E9"/>
    <w:rsid w:val="005B7279"/>
    <w:rsid w:val="005D7EC9"/>
    <w:rsid w:val="005E263F"/>
    <w:rsid w:val="005E6B26"/>
    <w:rsid w:val="005F0C50"/>
    <w:rsid w:val="005F7128"/>
    <w:rsid w:val="006358A7"/>
    <w:rsid w:val="0064373D"/>
    <w:rsid w:val="0065283B"/>
    <w:rsid w:val="00656D64"/>
    <w:rsid w:val="00660641"/>
    <w:rsid w:val="006750AD"/>
    <w:rsid w:val="006811BE"/>
    <w:rsid w:val="006848B7"/>
    <w:rsid w:val="006A0411"/>
    <w:rsid w:val="006B5B2E"/>
    <w:rsid w:val="006B6AB7"/>
    <w:rsid w:val="006C4161"/>
    <w:rsid w:val="006D249F"/>
    <w:rsid w:val="006D5F49"/>
    <w:rsid w:val="0070518F"/>
    <w:rsid w:val="00711A96"/>
    <w:rsid w:val="00714AB1"/>
    <w:rsid w:val="00714EFA"/>
    <w:rsid w:val="00722897"/>
    <w:rsid w:val="00757ED5"/>
    <w:rsid w:val="00786B2F"/>
    <w:rsid w:val="007974DE"/>
    <w:rsid w:val="007B22F0"/>
    <w:rsid w:val="007D3E49"/>
    <w:rsid w:val="007D3E9E"/>
    <w:rsid w:val="007E1EB1"/>
    <w:rsid w:val="007E497D"/>
    <w:rsid w:val="008003B8"/>
    <w:rsid w:val="0080220F"/>
    <w:rsid w:val="00805F72"/>
    <w:rsid w:val="00811A95"/>
    <w:rsid w:val="0083751F"/>
    <w:rsid w:val="00863654"/>
    <w:rsid w:val="00873D66"/>
    <w:rsid w:val="00897039"/>
    <w:rsid w:val="008A158D"/>
    <w:rsid w:val="008A465C"/>
    <w:rsid w:val="008C7036"/>
    <w:rsid w:val="008D0521"/>
    <w:rsid w:val="008D228F"/>
    <w:rsid w:val="00924EFD"/>
    <w:rsid w:val="00951FCD"/>
    <w:rsid w:val="00960BD4"/>
    <w:rsid w:val="00966E6D"/>
    <w:rsid w:val="00973C4E"/>
    <w:rsid w:val="00973DEB"/>
    <w:rsid w:val="00982006"/>
    <w:rsid w:val="0098389D"/>
    <w:rsid w:val="00993B7A"/>
    <w:rsid w:val="009B44C2"/>
    <w:rsid w:val="009C2256"/>
    <w:rsid w:val="00A037EC"/>
    <w:rsid w:val="00A214C2"/>
    <w:rsid w:val="00A30053"/>
    <w:rsid w:val="00A34BDB"/>
    <w:rsid w:val="00A50897"/>
    <w:rsid w:val="00A522FB"/>
    <w:rsid w:val="00A54862"/>
    <w:rsid w:val="00A54B91"/>
    <w:rsid w:val="00A6465D"/>
    <w:rsid w:val="00A70146"/>
    <w:rsid w:val="00A7376D"/>
    <w:rsid w:val="00A872F4"/>
    <w:rsid w:val="00AA2289"/>
    <w:rsid w:val="00AA2E9B"/>
    <w:rsid w:val="00AC02AB"/>
    <w:rsid w:val="00AC155F"/>
    <w:rsid w:val="00AC3CCE"/>
    <w:rsid w:val="00AD6DEE"/>
    <w:rsid w:val="00AE75E3"/>
    <w:rsid w:val="00AF5E6C"/>
    <w:rsid w:val="00B13D4C"/>
    <w:rsid w:val="00B24164"/>
    <w:rsid w:val="00B30E64"/>
    <w:rsid w:val="00B32FDE"/>
    <w:rsid w:val="00B337F7"/>
    <w:rsid w:val="00B60B8B"/>
    <w:rsid w:val="00B64AEE"/>
    <w:rsid w:val="00B74CBB"/>
    <w:rsid w:val="00B75AC0"/>
    <w:rsid w:val="00B76FE6"/>
    <w:rsid w:val="00B97633"/>
    <w:rsid w:val="00BB4BFE"/>
    <w:rsid w:val="00BC6324"/>
    <w:rsid w:val="00BC751D"/>
    <w:rsid w:val="00BD018F"/>
    <w:rsid w:val="00BD7B09"/>
    <w:rsid w:val="00BE0FDC"/>
    <w:rsid w:val="00BE2EDE"/>
    <w:rsid w:val="00BF1965"/>
    <w:rsid w:val="00BF20B1"/>
    <w:rsid w:val="00C05F76"/>
    <w:rsid w:val="00C07215"/>
    <w:rsid w:val="00C10591"/>
    <w:rsid w:val="00C24EF5"/>
    <w:rsid w:val="00C35C5D"/>
    <w:rsid w:val="00C5211E"/>
    <w:rsid w:val="00C73014"/>
    <w:rsid w:val="00C957B9"/>
    <w:rsid w:val="00D06624"/>
    <w:rsid w:val="00D26828"/>
    <w:rsid w:val="00D40BA7"/>
    <w:rsid w:val="00D72C38"/>
    <w:rsid w:val="00D73526"/>
    <w:rsid w:val="00D76B05"/>
    <w:rsid w:val="00D77A29"/>
    <w:rsid w:val="00D8165C"/>
    <w:rsid w:val="00D82F9D"/>
    <w:rsid w:val="00D97E6C"/>
    <w:rsid w:val="00DB5D76"/>
    <w:rsid w:val="00DB7727"/>
    <w:rsid w:val="00DB7DFD"/>
    <w:rsid w:val="00DC43F6"/>
    <w:rsid w:val="00DD2D9C"/>
    <w:rsid w:val="00DE5600"/>
    <w:rsid w:val="00DE7514"/>
    <w:rsid w:val="00E06E8C"/>
    <w:rsid w:val="00E128CE"/>
    <w:rsid w:val="00E21865"/>
    <w:rsid w:val="00E22855"/>
    <w:rsid w:val="00E31ACC"/>
    <w:rsid w:val="00E33C28"/>
    <w:rsid w:val="00E42103"/>
    <w:rsid w:val="00E42FA8"/>
    <w:rsid w:val="00E4513D"/>
    <w:rsid w:val="00E52140"/>
    <w:rsid w:val="00E60258"/>
    <w:rsid w:val="00E82AEF"/>
    <w:rsid w:val="00E9334B"/>
    <w:rsid w:val="00EC468A"/>
    <w:rsid w:val="00EC530B"/>
    <w:rsid w:val="00EF09EC"/>
    <w:rsid w:val="00EF1AF6"/>
    <w:rsid w:val="00F212AE"/>
    <w:rsid w:val="00F24834"/>
    <w:rsid w:val="00F45FFF"/>
    <w:rsid w:val="00F46DFF"/>
    <w:rsid w:val="00F55EBD"/>
    <w:rsid w:val="00F71D56"/>
    <w:rsid w:val="00F81584"/>
    <w:rsid w:val="00F81DAC"/>
    <w:rsid w:val="00F858D3"/>
    <w:rsid w:val="00FE56F8"/>
    <w:rsid w:val="00FE63CD"/>
    <w:rsid w:val="00FF1A99"/>
    <w:rsid w:val="00FF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B5DD"/>
  <w15:docId w15:val="{B6E6125B-085C-4D10-875A-D38926FB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link w:val="a9"/>
    <w:uiPriority w:val="34"/>
    <w:qFormat/>
    <w:rsid w:val="00F81DA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2C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E21865"/>
  </w:style>
  <w:style w:type="paragraph" w:customStyle="1" w:styleId="ConsPlusNormal">
    <w:name w:val="ConsPlusNormal"/>
    <w:link w:val="ConsPlusNormal1"/>
    <w:rsid w:val="00E218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E21865"/>
    <w:rPr>
      <w:rFonts w:ascii="Arial" w:eastAsia="Times New Roman" w:hAnsi="Arial" w:cs="Arial"/>
      <w:sz w:val="24"/>
      <w:szCs w:val="20"/>
      <w:lang w:eastAsia="ru-RU"/>
    </w:rPr>
  </w:style>
  <w:style w:type="table" w:styleId="ad">
    <w:name w:val="Table Grid"/>
    <w:basedOn w:val="a1"/>
    <w:uiPriority w:val="59"/>
    <w:rsid w:val="00E2186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87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B4E46-25E9-41D7-B62B-AD152834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12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Титова Юлия Михайловна</cp:lastModifiedBy>
  <cp:revision>33</cp:revision>
  <cp:lastPrinted>2022-04-13T05:58:00Z</cp:lastPrinted>
  <dcterms:created xsi:type="dcterms:W3CDTF">2022-02-21T02:55:00Z</dcterms:created>
  <dcterms:modified xsi:type="dcterms:W3CDTF">2022-04-13T05:59:00Z</dcterms:modified>
</cp:coreProperties>
</file>