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E80788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BF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755D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2BF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г. Краснокаменск</w:t>
      </w:r>
      <w:r w:rsidR="00852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52BF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52BF2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55D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52BF2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CA18D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3E580E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3E580E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18D5">
        <w:rPr>
          <w:rFonts w:ascii="Times New Roman" w:eastAsia="Times New Roman" w:hAnsi="Times New Roman" w:cs="Times New Roman"/>
          <w:sz w:val="24"/>
          <w:szCs w:val="24"/>
        </w:rPr>
        <w:t xml:space="preserve"> и 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CA18D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CA18D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proofErr w:type="spellStart"/>
      <w:r w:rsidR="00B81BA2" w:rsidRPr="00B81BA2">
        <w:rPr>
          <w:rFonts w:ascii="Times New Roman" w:eastAsia="Times New Roman" w:hAnsi="Times New Roman" w:cs="Times New Roman"/>
          <w:sz w:val="24"/>
          <w:szCs w:val="24"/>
        </w:rPr>
        <w:t>Мазняк</w:t>
      </w:r>
      <w:proofErr w:type="spellEnd"/>
      <w:r w:rsidR="00B81BA2" w:rsidRPr="00B81BA2">
        <w:rPr>
          <w:rFonts w:ascii="Times New Roman" w:eastAsia="Times New Roman" w:hAnsi="Times New Roman" w:cs="Times New Roman"/>
          <w:sz w:val="24"/>
          <w:szCs w:val="24"/>
        </w:rPr>
        <w:t xml:space="preserve"> Олес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1BA2" w:rsidRPr="00B81BA2">
        <w:rPr>
          <w:rFonts w:ascii="Times New Roman" w:eastAsia="Times New Roman" w:hAnsi="Times New Roman" w:cs="Times New Roman"/>
          <w:sz w:val="24"/>
          <w:szCs w:val="24"/>
        </w:rPr>
        <w:t xml:space="preserve"> Николаевн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CA18D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58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E58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80E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 w:rsidRPr="006B708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58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3E580E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Комитетом экономического и территориального развития 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6340F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61EA" w:rsidRPr="00B661EA">
        <w:rPr>
          <w:rFonts w:ascii="Times New Roman" w:eastAsia="Times New Roman" w:hAnsi="Times New Roman" w:cs="Times New Roman"/>
          <w:sz w:val="24"/>
          <w:szCs w:val="24"/>
        </w:rPr>
        <w:t>3,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0</w:t>
      </w:r>
      <w:r w:rsidR="00B661EA" w:rsidRPr="00B661E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5A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1EA" w:rsidRPr="00B661E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B661EA" w:rsidRPr="00B66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Кайластуйское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7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0,0 тыс. руб.</w:t>
      </w:r>
      <w:proofErr w:type="gramEnd"/>
    </w:p>
    <w:p w:rsidR="00B661EA" w:rsidRPr="00B661EA" w:rsidRDefault="00B661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977"/>
        <w:gridCol w:w="5812"/>
      </w:tblGrid>
      <w:tr w:rsidR="00B661EA" w:rsidRPr="00A4137B" w:rsidTr="00B661EA">
        <w:trPr>
          <w:trHeight w:val="619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1EA" w:rsidRPr="009E278D" w:rsidRDefault="00B661EA" w:rsidP="00B00DF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1EA" w:rsidRPr="009E278D" w:rsidRDefault="00B661EA" w:rsidP="00B00DF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B661EA" w:rsidRPr="009E278D" w:rsidRDefault="00B661EA" w:rsidP="00B00DF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1EA" w:rsidRPr="009E278D" w:rsidRDefault="00B661EA" w:rsidP="00B00DF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E278D">
              <w:rPr>
                <w:rFonts w:ascii="Times New Roman" w:hAnsi="Times New Roman" w:cs="Times New Roman"/>
                <w:sz w:val="24"/>
              </w:rPr>
              <w:t>ндивидуализирующие характеристики</w:t>
            </w:r>
          </w:p>
        </w:tc>
      </w:tr>
      <w:tr w:rsidR="006B7084" w:rsidRPr="006B7084" w:rsidTr="00B661EA">
        <w:trPr>
          <w:trHeight w:val="472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6B7084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6B70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 xml:space="preserve">Жилое здание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</w:p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ереселенческая,7)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1020004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2004 год;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E278D">
              <w:rPr>
                <w:rFonts w:ascii="Times New Roman" w:hAnsi="Times New Roman" w:cs="Times New Roman"/>
                <w:sz w:val="24"/>
              </w:rPr>
              <w:t>59,37кв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6B7084" w:rsidRPr="00A4137B" w:rsidTr="00B661EA">
        <w:trPr>
          <w:trHeight w:val="314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E278D">
              <w:rPr>
                <w:rFonts w:ascii="Times New Roman" w:hAnsi="Times New Roman" w:cs="Times New Roman"/>
                <w:sz w:val="24"/>
              </w:rPr>
              <w:t>Жилое здание (ул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ртемьева 1)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1020003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2004 год;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73,8кв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6B7084" w:rsidRPr="00A4137B" w:rsidTr="00B661EA">
        <w:trPr>
          <w:trHeight w:val="357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Жилое здание (ул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руздева 45 кв.1)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1010002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1975 год;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E278D">
              <w:rPr>
                <w:rFonts w:ascii="Times New Roman" w:hAnsi="Times New Roman" w:cs="Times New Roman"/>
                <w:sz w:val="24"/>
              </w:rPr>
              <w:t>72,0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Здание котельной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1010005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166,4кв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Сети теплоснабжения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1101040030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9E278D">
              <w:rPr>
                <w:rFonts w:ascii="Times New Roman" w:hAnsi="Times New Roman" w:cs="Times New Roman"/>
                <w:sz w:val="24"/>
              </w:rPr>
              <w:t>443м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Разведочно-эксплу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E278D">
              <w:rPr>
                <w:rFonts w:ascii="Times New Roman" w:hAnsi="Times New Roman" w:cs="Times New Roman"/>
                <w:sz w:val="24"/>
              </w:rPr>
              <w:t>тационная скважина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1101030001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2006 год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Трактор МТЗ-82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1510003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1993 год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Телега тракторная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1540002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E278D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Цистерна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1620002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1973 год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Экскаватор ЭО 2621 на базе МТЗ-82,1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11010400019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2004год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Автомобиль УАЗ 220694-04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1101050002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9E278D">
              <w:rPr>
                <w:rFonts w:ascii="Times New Roman" w:hAnsi="Times New Roman" w:cs="Times New Roman"/>
                <w:sz w:val="24"/>
              </w:rPr>
              <w:t>2007 год спец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>ассажирское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кузова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22060070222627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Автомобиль ЗИЛ ММЗ 554М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1101050003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1994год</w:t>
            </w:r>
            <w:proofErr w:type="gramStart"/>
            <w:r w:rsidRPr="009E278D">
              <w:rPr>
                <w:rFonts w:ascii="Times New Roman" w:hAnsi="Times New Roman" w:cs="Times New Roman"/>
                <w:sz w:val="24"/>
              </w:rPr>
              <w:t>,г</w:t>
            </w:r>
            <w:proofErr w:type="gramEnd"/>
            <w:r w:rsidRPr="009E278D">
              <w:rPr>
                <w:rFonts w:ascii="Times New Roman" w:hAnsi="Times New Roman" w:cs="Times New Roman"/>
                <w:sz w:val="24"/>
              </w:rPr>
              <w:t xml:space="preserve">рузовой 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Автомобиль ЗИЛ 34502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1101050004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1991 год,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грузово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>Библиотечный фонд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278D">
              <w:rPr>
                <w:rFonts w:ascii="Times New Roman" w:hAnsi="Times New Roman" w:cs="Times New Roman"/>
                <w:sz w:val="24"/>
              </w:rPr>
              <w:t>(книги)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190001111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(180шт.)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E278D">
              <w:rPr>
                <w:rFonts w:ascii="Times New Roman" w:hAnsi="Times New Roman" w:cs="Times New Roman"/>
                <w:sz w:val="24"/>
              </w:rPr>
              <w:t xml:space="preserve">Агрегат </w:t>
            </w:r>
            <w:proofErr w:type="spellStart"/>
            <w:r w:rsidRPr="009E278D">
              <w:rPr>
                <w:rFonts w:ascii="Times New Roman" w:hAnsi="Times New Roman" w:cs="Times New Roman"/>
                <w:sz w:val="24"/>
              </w:rPr>
              <w:t>электронасосный</w:t>
            </w:r>
            <w:proofErr w:type="spellEnd"/>
            <w:r w:rsidRPr="009E278D">
              <w:rPr>
                <w:rFonts w:ascii="Times New Roman" w:hAnsi="Times New Roman" w:cs="Times New Roman"/>
                <w:sz w:val="24"/>
              </w:rPr>
              <w:t xml:space="preserve"> центробежный К-80-50-200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9E278D">
              <w:rPr>
                <w:rFonts w:ascii="Times New Roman" w:hAnsi="Times New Roman" w:cs="Times New Roman"/>
                <w:sz w:val="24"/>
              </w:rPr>
              <w:t>1104040040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9E278D">
              <w:rPr>
                <w:rFonts w:ascii="Times New Roman" w:hAnsi="Times New Roman" w:cs="Times New Roman"/>
                <w:sz w:val="24"/>
              </w:rPr>
              <w:t>2012год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Насос ЭЦВ 6-16-110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1101040024; 2010 год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Насос ЭЦВ 6-16-110 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101040025; 2010 год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 xml:space="preserve">Плуг </w:t>
            </w: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трехкорпусный</w:t>
            </w:r>
            <w:proofErr w:type="spellEnd"/>
            <w:r w:rsidRPr="00E27E5A">
              <w:rPr>
                <w:rFonts w:ascii="Times New Roman" w:hAnsi="Times New Roman" w:cs="Times New Roman"/>
                <w:sz w:val="24"/>
              </w:rPr>
              <w:t xml:space="preserve"> навесной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Борона зубовая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од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Машина пожарная ГАЗ 66АЦ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1101040001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1990г</w:t>
            </w:r>
            <w:r>
              <w:rPr>
                <w:rFonts w:ascii="Times New Roman" w:hAnsi="Times New Roman" w:cs="Times New Roman"/>
                <w:sz w:val="24"/>
              </w:rPr>
              <w:t xml:space="preserve">; грузовой 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Ранцевый огнетушитель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1101040014-16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 xml:space="preserve">2008г 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Сирена-С-40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</w:t>
            </w:r>
            <w:r w:rsidRPr="00E27E5A">
              <w:rPr>
                <w:rFonts w:ascii="Times New Roman" w:hAnsi="Times New Roman" w:cs="Times New Roman"/>
                <w:sz w:val="24"/>
              </w:rPr>
              <w:t>1101040027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E27E5A">
              <w:rPr>
                <w:rFonts w:ascii="Times New Roman" w:hAnsi="Times New Roman" w:cs="Times New Roman"/>
                <w:sz w:val="24"/>
              </w:rPr>
              <w:t>2010г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Ветродуи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средство для тушения пожаров</w:t>
            </w:r>
            <w:r>
              <w:rPr>
                <w:rFonts w:ascii="Times New Roman" w:hAnsi="Times New Roman" w:cs="Times New Roman"/>
                <w:sz w:val="24"/>
              </w:rPr>
              <w:t xml:space="preserve"> (3 шт.)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1104040036-38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 xml:space="preserve">2011г 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Мотопомпа</w:t>
            </w:r>
            <w:proofErr w:type="spellEnd"/>
            <w:r w:rsidRPr="00E27E5A">
              <w:rPr>
                <w:rFonts w:ascii="Times New Roman" w:hAnsi="Times New Roman" w:cs="Times New Roman"/>
                <w:sz w:val="24"/>
              </w:rPr>
              <w:t xml:space="preserve"> СКАТ МПБ 1300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1104040039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2011г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 xml:space="preserve">Трактор </w:t>
            </w: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  <w:r w:rsidRPr="00E27E5A">
              <w:rPr>
                <w:rFonts w:ascii="Times New Roman" w:hAnsi="Times New Roman" w:cs="Times New Roman"/>
                <w:sz w:val="24"/>
              </w:rPr>
              <w:t xml:space="preserve"> МТЗ 82.1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1104040044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Погрузчик коммунальный ПКУ-08М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1104040045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Отвал на заднюю навеску МТЗ 82.1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1104040046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Автомашина ВАЗ-2121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01510002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1992г легковой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7E5A">
              <w:rPr>
                <w:rFonts w:ascii="Times New Roman" w:hAnsi="Times New Roman" w:cs="Times New Roman"/>
                <w:sz w:val="24"/>
              </w:rPr>
              <w:t>Водораздатчик</w:t>
            </w:r>
            <w:proofErr w:type="spellEnd"/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1101050001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2007г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Одежда пожарных</w:t>
            </w:r>
            <w:r>
              <w:rPr>
                <w:rFonts w:ascii="Times New Roman" w:hAnsi="Times New Roman" w:cs="Times New Roman"/>
                <w:sz w:val="24"/>
              </w:rPr>
              <w:t xml:space="preserve"> (2 комплекта)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</w:t>
            </w:r>
            <w:r w:rsidRPr="00E27E5A">
              <w:rPr>
                <w:rFonts w:ascii="Times New Roman" w:hAnsi="Times New Roman" w:cs="Times New Roman"/>
                <w:sz w:val="24"/>
              </w:rPr>
              <w:t>В000000060,62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2008г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Прицеп тракторный самосвальный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E5A">
              <w:rPr>
                <w:rFonts w:ascii="Times New Roman" w:hAnsi="Times New Roman" w:cs="Times New Roman"/>
                <w:sz w:val="24"/>
              </w:rPr>
              <w:t>ПТС-4,5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1101050007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27E5A">
              <w:rPr>
                <w:rFonts w:ascii="Times New Roman" w:hAnsi="Times New Roman" w:cs="Times New Roman"/>
                <w:sz w:val="24"/>
              </w:rPr>
              <w:t>Прицепной комплекс для пожаротушения «Водолей-ПКП-4»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 w:rsidRPr="00E27E5A">
              <w:rPr>
                <w:rFonts w:ascii="Times New Roman" w:hAnsi="Times New Roman" w:cs="Times New Roman"/>
                <w:sz w:val="24"/>
              </w:rPr>
              <w:t>1101050006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 w:rsidRPr="00E27E5A">
              <w:rPr>
                <w:rFonts w:ascii="Times New Roman" w:hAnsi="Times New Roman" w:cs="Times New Roman"/>
                <w:sz w:val="24"/>
              </w:rPr>
              <w:t>2013г</w:t>
            </w:r>
          </w:p>
        </w:tc>
      </w:tr>
      <w:tr w:rsidR="006B7084" w:rsidRPr="00A4137B" w:rsidTr="00B661EA">
        <w:trPr>
          <w:trHeight w:val="228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E27E5A" w:rsidRDefault="006B7084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84" w:rsidRPr="009E278D" w:rsidRDefault="006B7084" w:rsidP="00B00DFD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18D5" w:rsidRDefault="00CA1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09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 предоставляется в Комитет экономического и территориального развития </w:t>
      </w:r>
      <w:r w:rsidR="006B708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9C091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09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1B67" w:rsidRPr="006B7084" w:rsidTr="00AE1B67">
        <w:tc>
          <w:tcPr>
            <w:tcW w:w="4785" w:type="dxa"/>
          </w:tcPr>
          <w:p w:rsidR="00AE1B67" w:rsidRDefault="00AE1B67" w:rsidP="006436C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 (Комитет по финансам </w:t>
            </w:r>
            <w:r w:rsidR="00643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643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края)</w:t>
            </w:r>
          </w:p>
        </w:tc>
        <w:tc>
          <w:tcPr>
            <w:tcW w:w="4786" w:type="dxa"/>
          </w:tcPr>
          <w:p w:rsidR="00AE1B67" w:rsidRPr="006B7084" w:rsidRDefault="00AE1B67" w:rsidP="00B661E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6B7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Кайластуйское</w:t>
            </w:r>
            <w:proofErr w:type="spellEnd"/>
            <w:r w:rsidRPr="006B7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AD39E8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</w:t>
            </w:r>
            <w:r w:rsid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FD6"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="002C3FD6"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 w:rsidR="00AD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Краснокаменск, </w:t>
            </w:r>
            <w:r w:rsidR="002C3FD6"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AE1B67" w:rsidRPr="006B7084" w:rsidRDefault="00AE1B67" w:rsidP="00B661EA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Кайластуй, ул. Куйбышева, д. 11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AE1B67" w:rsidRPr="006B7084" w:rsidRDefault="00AE1B67" w:rsidP="0027263F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7530010720; КПП 753001001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AE1B67" w:rsidRPr="006B7084" w:rsidRDefault="00AE1B67" w:rsidP="002C3FD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казначейский счет 03231643766214209100, </w:t>
            </w:r>
            <w:proofErr w:type="spellStart"/>
            <w:proofErr w:type="gramStart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9368A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102810945370000063</w:t>
            </w:r>
            <w:r w:rsidRPr="009368AD">
              <w:rPr>
                <w:rFonts w:ascii="Times New Roman" w:hAnsi="Times New Roman"/>
                <w:sz w:val="24"/>
                <w:szCs w:val="24"/>
              </w:rPr>
              <w:t xml:space="preserve"> в  ОТДЕЛЕНИ</w:t>
            </w:r>
            <w:r w:rsidR="002C3FD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8AD">
              <w:rPr>
                <w:rFonts w:ascii="Times New Roman" w:hAnsi="Times New Roman"/>
                <w:sz w:val="24"/>
                <w:szCs w:val="24"/>
              </w:rPr>
              <w:t xml:space="preserve">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AE1B67" w:rsidRPr="006B7084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AE1B67" w:rsidRPr="006B7084" w:rsidRDefault="00AE1B67" w:rsidP="0080420B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Кайластуйское</w:t>
            </w:r>
            <w:proofErr w:type="spellEnd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04913011060)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AE1B67" w:rsidRPr="006B7084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76621420</w:t>
            </w:r>
          </w:p>
        </w:tc>
      </w:tr>
      <w:tr w:rsidR="00AE1B67" w:rsidRPr="006B7084" w:rsidTr="00AE1B67">
        <w:tc>
          <w:tcPr>
            <w:tcW w:w="4785" w:type="dxa"/>
          </w:tcPr>
          <w:p w:rsidR="00AE1B67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AE1B67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67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AE1B67" w:rsidRPr="006B7084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Кайластуйское</w:t>
            </w:r>
            <w:proofErr w:type="spellEnd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1B67" w:rsidRPr="006B7084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67" w:rsidRPr="006B7084" w:rsidRDefault="00AE1B67" w:rsidP="0080420B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О.Н./</w:t>
            </w:r>
          </w:p>
        </w:tc>
      </w:tr>
      <w:tr w:rsidR="00AE1B67" w:rsidTr="00AE1B67">
        <w:tc>
          <w:tcPr>
            <w:tcW w:w="4785" w:type="dxa"/>
          </w:tcPr>
          <w:p w:rsidR="00AE1B67" w:rsidRPr="00D43C29" w:rsidRDefault="00AE1B6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E1B67" w:rsidRPr="00D43C29" w:rsidRDefault="00AE1B67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8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740E"/>
    <w:rsid w:val="000F3A2C"/>
    <w:rsid w:val="00143585"/>
    <w:rsid w:val="001756B5"/>
    <w:rsid w:val="001D5280"/>
    <w:rsid w:val="00200EE3"/>
    <w:rsid w:val="0021134F"/>
    <w:rsid w:val="0021636E"/>
    <w:rsid w:val="0027263F"/>
    <w:rsid w:val="002C3FD6"/>
    <w:rsid w:val="00326F6E"/>
    <w:rsid w:val="00387E6B"/>
    <w:rsid w:val="003D3D2A"/>
    <w:rsid w:val="003E580E"/>
    <w:rsid w:val="004256C0"/>
    <w:rsid w:val="004358B6"/>
    <w:rsid w:val="0046391C"/>
    <w:rsid w:val="00476C5F"/>
    <w:rsid w:val="004902F0"/>
    <w:rsid w:val="004D68D5"/>
    <w:rsid w:val="00527DA8"/>
    <w:rsid w:val="005342D9"/>
    <w:rsid w:val="00555AB8"/>
    <w:rsid w:val="00575CF2"/>
    <w:rsid w:val="00585E61"/>
    <w:rsid w:val="005A6405"/>
    <w:rsid w:val="00612A2E"/>
    <w:rsid w:val="00627845"/>
    <w:rsid w:val="006340F0"/>
    <w:rsid w:val="006436C3"/>
    <w:rsid w:val="00653CC6"/>
    <w:rsid w:val="006A68F4"/>
    <w:rsid w:val="006B7084"/>
    <w:rsid w:val="006D33BD"/>
    <w:rsid w:val="006F4CA3"/>
    <w:rsid w:val="007742B9"/>
    <w:rsid w:val="0080420B"/>
    <w:rsid w:val="00852BF2"/>
    <w:rsid w:val="00892D12"/>
    <w:rsid w:val="008977F1"/>
    <w:rsid w:val="008A6FB8"/>
    <w:rsid w:val="008D3831"/>
    <w:rsid w:val="00916385"/>
    <w:rsid w:val="009C091F"/>
    <w:rsid w:val="00A178FC"/>
    <w:rsid w:val="00AD39E8"/>
    <w:rsid w:val="00AE1B67"/>
    <w:rsid w:val="00B4778D"/>
    <w:rsid w:val="00B56E8E"/>
    <w:rsid w:val="00B661EA"/>
    <w:rsid w:val="00B81BA2"/>
    <w:rsid w:val="00BD2404"/>
    <w:rsid w:val="00BF3AD5"/>
    <w:rsid w:val="00C01E67"/>
    <w:rsid w:val="00C11C9A"/>
    <w:rsid w:val="00C557F8"/>
    <w:rsid w:val="00C820D1"/>
    <w:rsid w:val="00C87723"/>
    <w:rsid w:val="00CA106A"/>
    <w:rsid w:val="00CA18D5"/>
    <w:rsid w:val="00D07C3F"/>
    <w:rsid w:val="00D23C30"/>
    <w:rsid w:val="00D3390A"/>
    <w:rsid w:val="00D43C29"/>
    <w:rsid w:val="00DA46D1"/>
    <w:rsid w:val="00DB6471"/>
    <w:rsid w:val="00DF2268"/>
    <w:rsid w:val="00E755D5"/>
    <w:rsid w:val="00E77600"/>
    <w:rsid w:val="00E80788"/>
    <w:rsid w:val="00EC593B"/>
    <w:rsid w:val="00ED4F01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22</cp:revision>
  <cp:lastPrinted>2021-01-13T00:28:00Z</cp:lastPrinted>
  <dcterms:created xsi:type="dcterms:W3CDTF">2019-12-17T01:19:00Z</dcterms:created>
  <dcterms:modified xsi:type="dcterms:W3CDTF">2021-01-13T00:28:00Z</dcterms:modified>
</cp:coreProperties>
</file>